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dfb11d3fd0564eee9190a0b2a1d2ece3"/>
        <w:id w:val="66785199"/>
        <w:lock w:val="sdtLocked"/>
      </w:sdtPr>
      <w:sdtEndPr/>
      <w:sdtContent>
        <w:p w14:paraId="073F9FA7" w14:textId="0FC6E2D2" w:rsidR="00917A4F" w:rsidRDefault="007F0D1E" w:rsidP="007F0D1E">
          <w:pPr>
            <w:jc w:val="center"/>
          </w:pPr>
          <w:r>
            <w:rPr>
              <w:noProof/>
              <w:lang w:eastAsia="lt-LT"/>
            </w:rPr>
            <w:drawing>
              <wp:inline distT="0" distB="0" distL="0" distR="0" wp14:anchorId="52324C51" wp14:editId="7379D1CB">
                <wp:extent cx="619125" cy="7239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pic:spPr>
                    </pic:pic>
                  </a:graphicData>
                </a:graphic>
              </wp:inline>
            </w:drawing>
          </w:r>
        </w:p>
        <w:p w14:paraId="073F9FAB" w14:textId="77777777" w:rsidR="00917A4F" w:rsidRDefault="007F0D1E">
          <w:pPr>
            <w:shd w:val="solid" w:color="FFFFFF" w:fill="FFFFFF"/>
            <w:jc w:val="center"/>
            <w:rPr>
              <w:b/>
            </w:rPr>
          </w:pPr>
          <w:r>
            <w:rPr>
              <w:b/>
            </w:rPr>
            <w:t>RIETAVO SAVIVALDYBĖS TARYBA</w:t>
          </w:r>
        </w:p>
        <w:p w14:paraId="073F9FAD" w14:textId="77777777" w:rsidR="00917A4F" w:rsidRDefault="00917A4F">
          <w:pPr>
            <w:shd w:val="solid" w:color="FFFFFF" w:fill="FFFFFF"/>
            <w:jc w:val="center"/>
            <w:rPr>
              <w:b/>
              <w:bCs/>
            </w:rPr>
          </w:pPr>
        </w:p>
        <w:p w14:paraId="073F9FAE" w14:textId="77777777" w:rsidR="00917A4F" w:rsidRDefault="007F0D1E">
          <w:pPr>
            <w:shd w:val="solid" w:color="FFFFFF" w:fill="FFFFFF"/>
            <w:jc w:val="center"/>
            <w:rPr>
              <w:b/>
              <w:bCs/>
            </w:rPr>
          </w:pPr>
          <w:r>
            <w:rPr>
              <w:b/>
              <w:bCs/>
            </w:rPr>
            <w:t>SPRENDIMAS</w:t>
          </w:r>
        </w:p>
        <w:p w14:paraId="073F9FAF" w14:textId="77777777" w:rsidR="00917A4F" w:rsidRDefault="007F0D1E">
          <w:pPr>
            <w:shd w:val="solid" w:color="FFFFFF" w:fill="FFFFFF"/>
            <w:jc w:val="center"/>
            <w:rPr>
              <w:b/>
              <w:bCs/>
              <w:sz w:val="20"/>
            </w:rPr>
          </w:pPr>
          <w:r>
            <w:rPr>
              <w:b/>
              <w:bCs/>
              <w:sz w:val="20"/>
            </w:rPr>
            <w:t>DĖL RIETAVO SAVIVALDYBĖS NEFORMALIOJO VAIKŲ ŠVIETIMO LĖŠŲ SKYRIMO IR PANAUDOJIMO TVARKOS APRAŠO 1, 2, 5, 25 IR 26  PUNKTŲ PAKEITIMO IR 29 PUNKTO PRIPAŽINIMO NETEKUSIU GAL</w:t>
          </w:r>
          <w:r>
            <w:rPr>
              <w:b/>
              <w:bCs/>
              <w:sz w:val="20"/>
            </w:rPr>
            <w:t>IOS</w:t>
          </w:r>
        </w:p>
        <w:p w14:paraId="073F9FB0" w14:textId="77777777" w:rsidR="00917A4F" w:rsidRDefault="00917A4F">
          <w:pPr>
            <w:shd w:val="solid" w:color="FFFFFF" w:fill="FFFFFF"/>
            <w:jc w:val="center"/>
            <w:rPr>
              <w:b/>
              <w:bCs/>
              <w:sz w:val="20"/>
            </w:rPr>
          </w:pPr>
        </w:p>
        <w:p w14:paraId="073F9FB1" w14:textId="77777777" w:rsidR="00917A4F" w:rsidRDefault="007F0D1E">
          <w:pPr>
            <w:shd w:val="solid" w:color="FFFFFF" w:fill="FFFFFF"/>
            <w:jc w:val="center"/>
          </w:pPr>
          <w:r>
            <w:t>2016 m. balandžio 29 d.  Nr. T1-64</w:t>
          </w:r>
        </w:p>
        <w:p w14:paraId="073F9FB2" w14:textId="77777777" w:rsidR="00917A4F" w:rsidRDefault="007F0D1E">
          <w:pPr>
            <w:jc w:val="center"/>
          </w:pPr>
          <w:r>
            <w:t>Rietavas</w:t>
          </w:r>
        </w:p>
        <w:p w14:paraId="073F9FB3" w14:textId="77777777" w:rsidR="00917A4F" w:rsidRDefault="00917A4F">
          <w:pPr>
            <w:ind w:left="709" w:firstLine="780"/>
            <w:jc w:val="both"/>
          </w:pPr>
        </w:p>
        <w:p w14:paraId="44839F8D" w14:textId="77777777" w:rsidR="007F0D1E" w:rsidRDefault="007F0D1E">
          <w:pPr>
            <w:ind w:left="709" w:firstLine="780"/>
            <w:jc w:val="both"/>
          </w:pPr>
        </w:p>
        <w:sdt>
          <w:sdtPr>
            <w:alias w:val="preambule"/>
            <w:tag w:val="part_b173b08626ac47af9ef59564d83e1477"/>
            <w:id w:val="1645851958"/>
            <w:lock w:val="sdtLocked"/>
          </w:sdtPr>
          <w:sdtEndPr/>
          <w:sdtContent>
            <w:p w14:paraId="073F9FB8" w14:textId="77777777" w:rsidR="00917A4F" w:rsidRDefault="007F0D1E">
              <w:pPr>
                <w:ind w:firstLine="780"/>
                <w:jc w:val="both"/>
              </w:pPr>
              <w:r>
                <w:rPr>
                  <w:bCs/>
                </w:rPr>
                <w:t xml:space="preserve">Vadovaudamasi  Lietuvos Respublikos vietos savivaldos įstatymo 16 straipsnio 2 dalies 17 punktu, 4 dalimi ir 18 straipsnio 1 dalimi, Lietuvos Respublikos švietimo įstatymo 15 straipsnio 1 ir 2 dalimis, Lietuvos Respublikos švietimo ir mokslo ministro 2005 </w:t>
              </w:r>
              <w:r>
                <w:rPr>
                  <w:bCs/>
                </w:rPr>
                <w:t>m.  gruodžio 30 d. įsakymu Nr. ISAK-2695 patvirtintos, 2012 m. kovo 29 d. įsakymu Nr. V-554 pakeistos Neformaliojo vaikų švietimo koncepcijos 8 ir 9 punktais, Lietuvos Respublikos švietimo ir mokslo ministro 2016 m. sausio 5 d. įsakymu Nr. V-1  „Dėl neform</w:t>
              </w:r>
              <w:r>
                <w:rPr>
                  <w:bCs/>
                </w:rPr>
                <w:t>aliojo vaikų švietimo lėšų skyrimo ir panaudojimo tvarkos aprašo patvirtinimo“ ir Lietuvos Respublikos švietimo ir mokslo ministro 2016 m. balandžio 4 d. įsakymu Nr. V-274  „Dėl Švietimo ir mokslo ministro 2016 m. sausio 5 d. įsakymo Nr. V-1 „Dėl neformali</w:t>
              </w:r>
              <w:r>
                <w:rPr>
                  <w:bCs/>
                </w:rPr>
                <w:t>ojo vaikų švietimo lėšų skyrimo ir panaudojimo tvarkos aprašo patvirtinimo“ pakeitimo“</w:t>
              </w:r>
              <w:r>
                <w:t xml:space="preserve">, Rietavo savivaldybės taryba n u s p r e n d ž i a: </w:t>
              </w:r>
            </w:p>
          </w:sdtContent>
        </w:sdt>
        <w:sdt>
          <w:sdtPr>
            <w:alias w:val="1 p."/>
            <w:tag w:val="part_13b1383a3f10401d95b3cff93c2b53ea"/>
            <w:id w:val="-1055543360"/>
            <w:lock w:val="sdtLocked"/>
            <w:placeholder>
              <w:docPart w:val="DefaultPlaceholder_1082065158"/>
            </w:placeholder>
          </w:sdtPr>
          <w:sdtContent>
            <w:p w14:paraId="073F9FB9" w14:textId="32F4486C" w:rsidR="00917A4F" w:rsidRDefault="007F0D1E">
              <w:pPr>
                <w:ind w:firstLine="720"/>
                <w:jc w:val="both"/>
              </w:pPr>
              <w:sdt>
                <w:sdtPr>
                  <w:alias w:val="Numeris"/>
                  <w:tag w:val="nr_13b1383a3f10401d95b3cff93c2b53ea"/>
                  <w:id w:val="968562299"/>
                  <w:lock w:val="sdtLocked"/>
                </w:sdtPr>
                <w:sdtEndPr/>
                <w:sdtContent>
                  <w:r>
                    <w:t>1</w:t>
                  </w:r>
                </w:sdtContent>
              </w:sdt>
              <w:r>
                <w:t>. Pakeisti Rietavo Savivaldybės neformaliojo vaikų švietimo lėšų skyrimo ir panaudojimo tvarkos aprašo, patvirt</w:t>
              </w:r>
              <w:r>
                <w:t xml:space="preserve">into Rietavo savivaldybės tarybos 2016 m. sausio 28 d. sprendimu Nr. T1-3, 1, 2, 5, 25 ir 26 punktus ir juos išdėstyti taip:  </w:t>
              </w:r>
            </w:p>
            <w:sdt>
              <w:sdtPr>
                <w:alias w:val="citata"/>
                <w:tag w:val="part_4d83cb7e109943cea05ceb214cf28e36"/>
                <w:id w:val="-1970276739"/>
                <w:lock w:val="sdtLocked"/>
                <w:placeholder>
                  <w:docPart w:val="DefaultPlaceholder_1082065158"/>
                </w:placeholder>
              </w:sdtPr>
              <w:sdtContent>
                <w:sdt>
                  <w:sdtPr>
                    <w:alias w:val="1 p."/>
                    <w:tag w:val="part_217ccba5c6c64e349c4e07d290a6c967"/>
                    <w:id w:val="-1198379015"/>
                    <w:lock w:val="sdtLocked"/>
                  </w:sdtPr>
                  <w:sdtEndPr/>
                  <w:sdtContent>
                    <w:p w14:paraId="073F9FBA" w14:textId="47B9FDBD" w:rsidR="00917A4F" w:rsidRDefault="007F0D1E">
                      <w:pPr>
                        <w:ind w:firstLine="709"/>
                        <w:jc w:val="both"/>
                        <w:rPr>
                          <w:rFonts w:ascii="TimesLT" w:hAnsi="TimesLT"/>
                          <w:szCs w:val="24"/>
                        </w:rPr>
                      </w:pPr>
                      <w:r>
                        <w:rPr>
                          <w:rFonts w:ascii="TimesLT" w:hAnsi="TimesLT"/>
                          <w:szCs w:val="24"/>
                        </w:rPr>
                        <w:t>„</w:t>
                      </w:r>
                      <w:sdt>
                        <w:sdtPr>
                          <w:alias w:val="Numeris"/>
                          <w:tag w:val="nr_217ccba5c6c64e349c4e07d290a6c967"/>
                          <w:id w:val="-1495325480"/>
                          <w:lock w:val="sdtLocked"/>
                        </w:sdtPr>
                        <w:sdtEndPr/>
                        <w:sdtContent>
                          <w:r>
                            <w:rPr>
                              <w:rFonts w:ascii="TimesLT" w:hAnsi="TimesLT"/>
                              <w:szCs w:val="24"/>
                            </w:rPr>
                            <w:t>1</w:t>
                          </w:r>
                        </w:sdtContent>
                      </w:sdt>
                      <w:r>
                        <w:rPr>
                          <w:rFonts w:ascii="TimesLT" w:hAnsi="TimesLT"/>
                          <w:szCs w:val="24"/>
                        </w:rPr>
                        <w:t xml:space="preserve">. Neformaliojo vaikų švietimo lėšų skyrimo ir panaudojimo tvarkos aprašo (toliau – Aprašas) paskirtis – apibrėžti valstybės </w:t>
                      </w:r>
                      <w:r>
                        <w:rPr>
                          <w:rFonts w:ascii="TimesLT" w:hAnsi="TimesLT"/>
                          <w:szCs w:val="24"/>
                        </w:rPr>
                        <w:t>biudžeto ir/arba Europos Sąjungos finansinės paramos ir bendrojo finansavimo lėšų, skiriamų savivaldybėms mokinių ugdymui pagal neformaliojo vaikų švietimo (išskyrus ikimokyklinio, priešmokyklinio ir formalųjį švietimą papildančio ugdymo) (toliau – NVŠ) pr</w:t>
                      </w:r>
                      <w:r>
                        <w:rPr>
                          <w:rFonts w:ascii="TimesLT" w:hAnsi="TimesLT"/>
                          <w:szCs w:val="24"/>
                        </w:rPr>
                        <w:t>ogramas, skyrimo principus, lėšų naudojimą, reikalavimus švietimo teikėjui ir NVŠ programoms, NVŠ tikslinėmis lėšomis finansuojamų vaikų apskaitą, NVŠ programų vertinimo, kokybės užtikrinimo ir atsiskaitymo už NVŠ lėšas tvarką.“</w:t>
                      </w:r>
                    </w:p>
                  </w:sdtContent>
                </w:sdt>
                <w:sdt>
                  <w:sdtPr>
                    <w:alias w:val="2 p."/>
                    <w:tag w:val="part_92372af2c97d4154b0336c00287fb295"/>
                    <w:id w:val="2080858676"/>
                    <w:lock w:val="sdtLocked"/>
                  </w:sdtPr>
                  <w:sdtEndPr/>
                  <w:sdtContent>
                    <w:p w14:paraId="073F9FBB" w14:textId="50D942AF" w:rsidR="00917A4F" w:rsidRDefault="007F0D1E">
                      <w:pPr>
                        <w:ind w:firstLine="720"/>
                        <w:jc w:val="both"/>
                        <w:rPr>
                          <w:szCs w:val="24"/>
                          <w:lang w:eastAsia="lt-LT"/>
                        </w:rPr>
                      </w:pPr>
                      <w:r>
                        <w:rPr>
                          <w:szCs w:val="24"/>
                          <w:lang w:eastAsia="lt-LT"/>
                        </w:rPr>
                        <w:t>„</w:t>
                      </w:r>
                      <w:sdt>
                        <w:sdtPr>
                          <w:alias w:val="Numeris"/>
                          <w:tag w:val="nr_92372af2c97d4154b0336c00287fb295"/>
                          <w:id w:val="-1406292768"/>
                          <w:lock w:val="sdtLocked"/>
                        </w:sdtPr>
                        <w:sdtEndPr/>
                        <w:sdtContent>
                          <w:r>
                            <w:rPr>
                              <w:szCs w:val="24"/>
                              <w:lang w:eastAsia="lt-LT"/>
                            </w:rPr>
                            <w:t>2</w:t>
                          </w:r>
                        </w:sdtContent>
                      </w:sdt>
                      <w:r>
                        <w:rPr>
                          <w:szCs w:val="24"/>
                          <w:lang w:eastAsia="lt-LT"/>
                        </w:rPr>
                        <w:t>. NVŠ lėšos skiri</w:t>
                      </w:r>
                      <w:r>
                        <w:rPr>
                          <w:szCs w:val="24"/>
                          <w:lang w:eastAsia="lt-LT"/>
                        </w:rPr>
                        <w:t xml:space="preserve">amos savivaldybėms, siekiant didinti vaikų, ugdomų pagal NVŠ programas, skaičių. NVŠ skiriamų lėšų dydį nustato Mokinio krepšelio lėšų apskaičiavimo ir paskirstymo metodika, patvirtinta Lietuvos Respublikos Vyriausybės 2001 m. birželio 27 d.  nutarimu </w:t>
                      </w:r>
                      <w:r>
                        <w:rPr>
                          <w:iCs/>
                          <w:color w:val="000000"/>
                          <w:szCs w:val="24"/>
                          <w:lang w:eastAsia="lt-LT"/>
                        </w:rPr>
                        <w:t xml:space="preserve">Nr. </w:t>
                      </w:r>
                      <w:r>
                        <w:rPr>
                          <w:iCs/>
                          <w:color w:val="000000"/>
                          <w:szCs w:val="24"/>
                          <w:lang w:eastAsia="lt-LT"/>
                        </w:rPr>
                        <w:t>785</w:t>
                      </w:r>
                      <w:r>
                        <w:rPr>
                          <w:szCs w:val="24"/>
                          <w:lang w:eastAsia="lt-LT"/>
                        </w:rPr>
                        <w:t xml:space="preserve"> „Dėl Mokinio krepšelio lėšų apskaičiavimo ir paskirstymo metodikos patvirtinimo“ (toliau – Mokinio krepšelio lėšų apskaičiavimo ir paskirstymo metodika)“</w:t>
                      </w:r>
                    </w:p>
                  </w:sdtContent>
                </w:sdt>
                <w:sdt>
                  <w:sdtPr>
                    <w:alias w:val="5 p."/>
                    <w:tag w:val="part_ad4ae91cbcfc43f49b2bff187e6c42ee"/>
                    <w:id w:val="-24724332"/>
                    <w:lock w:val="sdtLocked"/>
                  </w:sdtPr>
                  <w:sdtEndPr/>
                  <w:sdtContent>
                    <w:p w14:paraId="073F9FBC" w14:textId="26F20613" w:rsidR="00917A4F" w:rsidRDefault="007F0D1E">
                      <w:pPr>
                        <w:ind w:firstLine="720"/>
                        <w:jc w:val="both"/>
                        <w:rPr>
                          <w:szCs w:val="24"/>
                        </w:rPr>
                      </w:pPr>
                      <w:r>
                        <w:rPr>
                          <w:szCs w:val="24"/>
                        </w:rPr>
                        <w:t>„</w:t>
                      </w:r>
                      <w:sdt>
                        <w:sdtPr>
                          <w:alias w:val="Numeris"/>
                          <w:tag w:val="nr_ad4ae91cbcfc43f49b2bff187e6c42ee"/>
                          <w:id w:val="-1301070609"/>
                          <w:lock w:val="sdtLocked"/>
                        </w:sdtPr>
                        <w:sdtEndPr/>
                        <w:sdtContent>
                          <w:r>
                            <w:rPr>
                              <w:szCs w:val="24"/>
                            </w:rPr>
                            <w:t>5</w:t>
                          </w:r>
                        </w:sdtContent>
                      </w:sdt>
                      <w:r>
                        <w:rPr>
                          <w:szCs w:val="24"/>
                        </w:rPr>
                        <w:t>. Rekomenduojama NVŠ lėšų suma vienam NVŠ programoje dalyvaujančiam vaikui, nustatyta Mokini</w:t>
                      </w:r>
                      <w:r>
                        <w:rPr>
                          <w:szCs w:val="24"/>
                        </w:rPr>
                        <w:t>o krepšelio lėšų apskaičiavimo ir paskirstymo metodikoje, yra 15 EUR/mėn.“</w:t>
                      </w:r>
                    </w:p>
                  </w:sdtContent>
                </w:sdt>
                <w:sdt>
                  <w:sdtPr>
                    <w:alias w:val="25 p."/>
                    <w:tag w:val="part_7bcb4d795ff740ab992ba54cd69ace9a"/>
                    <w:id w:val="618811795"/>
                    <w:lock w:val="sdtLocked"/>
                  </w:sdtPr>
                  <w:sdtEndPr/>
                  <w:sdtContent>
                    <w:p w14:paraId="073F9FBD" w14:textId="5A2CD7F1" w:rsidR="00917A4F" w:rsidRDefault="007F0D1E">
                      <w:pPr>
                        <w:ind w:firstLine="720"/>
                        <w:jc w:val="both"/>
                        <w:rPr>
                          <w:szCs w:val="24"/>
                          <w:lang w:eastAsia="lt-LT"/>
                        </w:rPr>
                      </w:pPr>
                      <w:r>
                        <w:rPr>
                          <w:szCs w:val="24"/>
                        </w:rPr>
                        <w:t>„</w:t>
                      </w:r>
                      <w:sdt>
                        <w:sdtPr>
                          <w:alias w:val="Numeris"/>
                          <w:tag w:val="nr_7bcb4d795ff740ab992ba54cd69ace9a"/>
                          <w:id w:val="-751423679"/>
                          <w:lock w:val="sdtLocked"/>
                        </w:sdtPr>
                        <w:sdtEndPr/>
                        <w:sdtContent>
                          <w:r>
                            <w:rPr>
                              <w:szCs w:val="24"/>
                            </w:rPr>
                            <w:t>25</w:t>
                          </w:r>
                        </w:sdtContent>
                      </w:sdt>
                      <w:r>
                        <w:rPr>
                          <w:szCs w:val="24"/>
                        </w:rPr>
                        <w:t xml:space="preserve">. </w:t>
                      </w:r>
                      <w:r>
                        <w:rPr>
                          <w:szCs w:val="24"/>
                          <w:lang w:eastAsia="lt-LT"/>
                        </w:rPr>
                        <w:t>Savivaldybės administracijos Teisės ir finansų skyrius už panaudotas valstybės biudžeto lėšas per 20 darbo dienų Švietimo ir mokslo ministerijos Buhalterinės apskaitos skyr</w:t>
                      </w:r>
                      <w:r>
                        <w:rPr>
                          <w:szCs w:val="24"/>
                          <w:lang w:eastAsia="lt-LT"/>
                        </w:rPr>
                        <w:t>iui pateikia formą Nr. 2 - metinė, ketvirtinė biudžeto išlaidų sąmatos vykdymo 20   m.       d. ataskaita, patvirtinta Lietuvos Respublikos finansų ministro 2008 m. gruodžio 31 d. įsakymu Nr. 1K-465 „Dėl valstybės ir savivaldybių biudžetinių įstaigų ir kit</w:t>
                      </w:r>
                      <w:r>
                        <w:rPr>
                          <w:szCs w:val="24"/>
                          <w:lang w:eastAsia="lt-LT"/>
                        </w:rPr>
                        <w:t>ų subjektų žemesniojo lygio biudžeto vykdymo ataskaitų sudarymo taisyklių ir formų patvirtinimo“, banko išrašą arba laisvos formos pažymą apie lėšų likutį sąskaitoje“;</w:t>
                      </w:r>
                    </w:p>
                  </w:sdtContent>
                </w:sdt>
                <w:sdt>
                  <w:sdtPr>
                    <w:alias w:val="26 p."/>
                    <w:tag w:val="part_5c082bf7a28a4c6b9c3e98fe52e54533"/>
                    <w:id w:val="-1515531739"/>
                    <w:lock w:val="sdtLocked"/>
                  </w:sdtPr>
                  <w:sdtEndPr/>
                  <w:sdtContent>
                    <w:p w14:paraId="073F9FBE" w14:textId="11207C45" w:rsidR="00917A4F" w:rsidRDefault="007F0D1E">
                      <w:pPr>
                        <w:ind w:firstLine="720"/>
                        <w:jc w:val="both"/>
                      </w:pPr>
                      <w:r>
                        <w:rPr>
                          <w:szCs w:val="24"/>
                          <w:lang w:eastAsia="lt-LT"/>
                        </w:rPr>
                        <w:t>„</w:t>
                      </w:r>
                      <w:sdt>
                        <w:sdtPr>
                          <w:alias w:val="Numeris"/>
                          <w:tag w:val="nr_5c082bf7a28a4c6b9c3e98fe52e54533"/>
                          <w:id w:val="-789205951"/>
                          <w:lock w:val="sdtLocked"/>
                        </w:sdtPr>
                        <w:sdtEndPr/>
                        <w:sdtContent>
                          <w:r>
                            <w:rPr>
                              <w:szCs w:val="24"/>
                              <w:lang w:eastAsia="lt-LT"/>
                            </w:rPr>
                            <w:t>26</w:t>
                          </w:r>
                        </w:sdtContent>
                      </w:sdt>
                      <w:r>
                        <w:rPr>
                          <w:szCs w:val="24"/>
                          <w:lang w:eastAsia="lt-LT"/>
                        </w:rPr>
                        <w:t>. Iki kitų metų sausio 5 d. Savivaldybė skirtas ir nepanaudotas valstybės biudžet</w:t>
                      </w:r>
                      <w:r>
                        <w:rPr>
                          <w:szCs w:val="24"/>
                          <w:lang w:eastAsia="lt-LT"/>
                        </w:rPr>
                        <w:t>o NVŠ  lėšas turi grąžinti į ministerijos sąskaitą Nr. LT307300010002457205.“</w:t>
                      </w:r>
                    </w:p>
                  </w:sdtContent>
                </w:sdt>
              </w:sdtContent>
            </w:sdt>
          </w:sdtContent>
        </w:sdt>
        <w:sdt>
          <w:sdtPr>
            <w:alias w:val="2 p."/>
            <w:tag w:val="part_89807b85e831409eb53c67f89cc56f7d"/>
            <w:id w:val="-1320957753"/>
            <w:lock w:val="sdtLocked"/>
          </w:sdtPr>
          <w:sdtEndPr/>
          <w:sdtContent>
            <w:p w14:paraId="073F9FBF" w14:textId="77777777" w:rsidR="00917A4F" w:rsidRDefault="007F0D1E">
              <w:pPr>
                <w:ind w:firstLine="720"/>
                <w:jc w:val="both"/>
              </w:pPr>
              <w:sdt>
                <w:sdtPr>
                  <w:alias w:val="Numeris"/>
                  <w:tag w:val="nr_89807b85e831409eb53c67f89cc56f7d"/>
                  <w:id w:val="1343666379"/>
                  <w:lock w:val="sdtLocked"/>
                </w:sdtPr>
                <w:sdtEndPr/>
                <w:sdtContent>
                  <w:r>
                    <w:t>2</w:t>
                  </w:r>
                </w:sdtContent>
              </w:sdt>
              <w:r>
                <w:t>. Pripažinti netekusiu galios Rietavo Savivaldybės neformaliojo vaikų švietimo lėšų skyrimo ir panaudojimo tvarkos aprašo, patvirtinto Rietavo savivaldybės tarybos 2016 m. s</w:t>
              </w:r>
              <w:r>
                <w:t>ausio 28 d. sprendimu Nr. T1-3,  29 punktą.</w:t>
              </w:r>
            </w:p>
          </w:sdtContent>
        </w:sdt>
        <w:sdt>
          <w:sdtPr>
            <w:alias w:val="3 p."/>
            <w:tag w:val="part_57d155b10c614392b3fe4230eb49ef58"/>
            <w:id w:val="-1433275774"/>
            <w:lock w:val="sdtLocked"/>
            <w:placeholder>
              <w:docPart w:val="DefaultPlaceholder_1082065158"/>
            </w:placeholder>
          </w:sdtPr>
          <w:sdtContent>
            <w:p w14:paraId="073F9FC0" w14:textId="6228E0EA" w:rsidR="00917A4F" w:rsidRDefault="007F0D1E">
              <w:pPr>
                <w:ind w:firstLine="720"/>
                <w:jc w:val="both"/>
              </w:pPr>
              <w:sdt>
                <w:sdtPr>
                  <w:alias w:val="Numeris"/>
                  <w:tag w:val="nr_57d155b10c614392b3fe4230eb49ef58"/>
                  <w:id w:val="-636335644"/>
                  <w:lock w:val="sdtLocked"/>
                </w:sdtPr>
                <w:sdtEndPr/>
                <w:sdtContent>
                  <w:r>
                    <w:t>3</w:t>
                  </w:r>
                </w:sdtContent>
              </w:sdt>
              <w:r>
                <w:t xml:space="preserve">. Rietavo Savivaldybės neformaliojo vaikų švietimo lėšų skyrimo ir panaudojimo tvarkos aprašo, patvirtinto Rietavo savivaldybės tarybos 2016 m. sausio 28 d. sprendimu Nr. T1-3 30 punktą laikyti 29.  </w:t>
              </w:r>
            </w:p>
          </w:sdtContent>
        </w:sdt>
        <w:sdt>
          <w:sdtPr>
            <w:alias w:val="pastraipa"/>
            <w:tag w:val="part_dc83f14bb9f54fc18b75f289169509ba"/>
            <w:id w:val="-2073340923"/>
            <w:lock w:val="sdtLocked"/>
            <w:placeholder>
              <w:docPart w:val="DefaultPlaceholder_1082065158"/>
            </w:placeholder>
          </w:sdtPr>
          <w:sdtEndPr>
            <w:rPr>
              <w:szCs w:val="24"/>
            </w:rPr>
          </w:sdtEndPr>
          <w:sdtContent>
            <w:p w14:paraId="073F9FC5" w14:textId="4FFD4466" w:rsidR="00917A4F" w:rsidRDefault="007F0D1E" w:rsidP="007F0D1E">
              <w:pPr>
                <w:ind w:firstLine="720"/>
                <w:jc w:val="both"/>
              </w:pPr>
              <w:r>
                <w:t>S</w:t>
              </w:r>
              <w:r>
                <w:rPr>
                  <w:szCs w:val="24"/>
                </w:rPr>
                <w:t xml:space="preserve">prendimas gali būti skundžiamas Lietuvos Respublikos administracinių bylų teisenos įstatymo nustatyta tvarka. </w:t>
              </w:r>
            </w:p>
          </w:sdtContent>
        </w:sdt>
        <w:sdt>
          <w:sdtPr>
            <w:alias w:val="signatura"/>
            <w:tag w:val="part_026cede7cc4545bda3964cb29c49335f"/>
            <w:id w:val="-1118212830"/>
            <w:lock w:val="sdtLocked"/>
          </w:sdtPr>
          <w:sdtEndPr/>
          <w:sdtContent>
            <w:bookmarkStart w:id="0" w:name="_GoBack" w:displacedByCustomXml="prev"/>
            <w:p w14:paraId="465BF0A9" w14:textId="77777777" w:rsidR="007F0D1E" w:rsidRDefault="007F0D1E">
              <w:pPr>
                <w:tabs>
                  <w:tab w:val="left" w:pos="1247"/>
                </w:tabs>
                <w:jc w:val="both"/>
              </w:pPr>
            </w:p>
            <w:p w14:paraId="529F85D8" w14:textId="77777777" w:rsidR="007F0D1E" w:rsidRDefault="007F0D1E">
              <w:pPr>
                <w:tabs>
                  <w:tab w:val="left" w:pos="1247"/>
                </w:tabs>
                <w:jc w:val="both"/>
              </w:pPr>
            </w:p>
            <w:p w14:paraId="4CDE9D3D" w14:textId="77777777" w:rsidR="007F0D1E" w:rsidRDefault="007F0D1E">
              <w:pPr>
                <w:tabs>
                  <w:tab w:val="left" w:pos="1247"/>
                </w:tabs>
                <w:jc w:val="both"/>
              </w:pPr>
            </w:p>
            <w:p w14:paraId="073F9FE1" w14:textId="69C9BB93" w:rsidR="00917A4F" w:rsidRDefault="007F0D1E">
              <w:pPr>
                <w:tabs>
                  <w:tab w:val="left" w:pos="1247"/>
                </w:tabs>
                <w:jc w:val="both"/>
              </w:pPr>
              <w:r>
                <w:t>Savivaldybės meras</w:t>
              </w:r>
              <w:r>
                <w:tab/>
              </w:r>
              <w:r>
                <w:tab/>
              </w:r>
              <w:r>
                <w:tab/>
              </w:r>
              <w:r>
                <w:tab/>
              </w:r>
              <w:r>
                <w:tab/>
              </w:r>
              <w:r>
                <w:tab/>
              </w:r>
              <w:r>
                <w:tab/>
              </w:r>
              <w:r>
                <w:tab/>
                <w:t xml:space="preserve">     </w:t>
              </w:r>
              <w:r>
                <w:t xml:space="preserve">Antanas </w:t>
              </w:r>
              <w:proofErr w:type="spellStart"/>
              <w:r>
                <w:t>Černeckis</w:t>
              </w:r>
              <w:proofErr w:type="spellEnd"/>
              <w:r>
                <w:t xml:space="preserve"> </w:t>
              </w:r>
            </w:p>
            <w:bookmarkEnd w:id="0" w:displacedByCustomXml="next"/>
          </w:sdtContent>
        </w:sdt>
      </w:sdtContent>
    </w:sdt>
    <w:sectPr w:rsidR="00917A4F">
      <w:footerReference w:type="default" r:id="rId9"/>
      <w:type w:val="continuous"/>
      <w:pgSz w:w="11907" w:h="16840" w:code="9"/>
      <w:pgMar w:top="1134" w:right="708" w:bottom="1134" w:left="1701" w:header="680" w:footer="454" w:gutter="0"/>
      <w:cols w:space="1296"/>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F9FE5" w14:textId="77777777" w:rsidR="00917A4F" w:rsidRDefault="007F0D1E">
      <w:pPr>
        <w:ind w:firstLine="720"/>
        <w:jc w:val="both"/>
      </w:pPr>
      <w:r>
        <w:separator/>
      </w:r>
    </w:p>
  </w:endnote>
  <w:endnote w:type="continuationSeparator" w:id="0">
    <w:p w14:paraId="073F9FE6" w14:textId="77777777" w:rsidR="00917A4F" w:rsidRDefault="007F0D1E">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9FE7" w14:textId="77777777" w:rsidR="00917A4F" w:rsidRDefault="007F0D1E">
    <w:pPr>
      <w:tabs>
        <w:tab w:val="center" w:pos="4153"/>
        <w:tab w:val="right" w:pos="8306"/>
      </w:tabs>
      <w:ind w:firstLine="720"/>
      <w:jc w:val="both"/>
      <w:rPr>
        <w:sz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F9FE3" w14:textId="77777777" w:rsidR="00917A4F" w:rsidRDefault="007F0D1E">
      <w:pPr>
        <w:ind w:firstLine="720"/>
        <w:jc w:val="both"/>
      </w:pPr>
      <w:r>
        <w:separator/>
      </w:r>
    </w:p>
  </w:footnote>
  <w:footnote w:type="continuationSeparator" w:id="0">
    <w:p w14:paraId="073F9FE4" w14:textId="77777777" w:rsidR="00917A4F" w:rsidRDefault="007F0D1E">
      <w:pPr>
        <w:ind w:firstLine="720"/>
        <w:jc w:val="both"/>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DE"/>
    <w:rsid w:val="007F0D1E"/>
    <w:rsid w:val="00917A4F"/>
    <w:rsid w:val="00D21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73F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F0D1E"/>
    <w:rPr>
      <w:rFonts w:ascii="Tahoma" w:hAnsi="Tahoma" w:cs="Tahoma"/>
      <w:sz w:val="16"/>
      <w:szCs w:val="16"/>
    </w:rPr>
  </w:style>
  <w:style w:type="character" w:customStyle="1" w:styleId="DebesliotekstasDiagrama">
    <w:name w:val="Debesėlio tekstas Diagrama"/>
    <w:basedOn w:val="Numatytasispastraiposriftas"/>
    <w:link w:val="Debesliotekstas"/>
    <w:rsid w:val="007F0D1E"/>
    <w:rPr>
      <w:rFonts w:ascii="Tahoma" w:hAnsi="Tahoma" w:cs="Tahoma"/>
      <w:sz w:val="16"/>
      <w:szCs w:val="16"/>
    </w:rPr>
  </w:style>
  <w:style w:type="character" w:styleId="Vietosrezervavimoenklotekstas">
    <w:name w:val="Placeholder Text"/>
    <w:basedOn w:val="Numatytasispastraiposriftas"/>
    <w:rsid w:val="007F0D1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F0D1E"/>
    <w:rPr>
      <w:rFonts w:ascii="Tahoma" w:hAnsi="Tahoma" w:cs="Tahoma"/>
      <w:sz w:val="16"/>
      <w:szCs w:val="16"/>
    </w:rPr>
  </w:style>
  <w:style w:type="character" w:customStyle="1" w:styleId="DebesliotekstasDiagrama">
    <w:name w:val="Debesėlio tekstas Diagrama"/>
    <w:basedOn w:val="Numatytasispastraiposriftas"/>
    <w:link w:val="Debesliotekstas"/>
    <w:rsid w:val="007F0D1E"/>
    <w:rPr>
      <w:rFonts w:ascii="Tahoma" w:hAnsi="Tahoma" w:cs="Tahoma"/>
      <w:sz w:val="16"/>
      <w:szCs w:val="16"/>
    </w:rPr>
  </w:style>
  <w:style w:type="character" w:styleId="Vietosrezervavimoenklotekstas">
    <w:name w:val="Placeholder Text"/>
    <w:basedOn w:val="Numatytasispastraiposriftas"/>
    <w:rsid w:val="007F0D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0"/>
    <w:rsid w:val="00920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2028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202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772c4a525e83466b8128502b29752c81" PartId="dfb11d3fd0564eee9190a0b2a1d2ece3">
    <Part Type="preambule" DocPartId="f1d6d93bb75c40ec936e12bb4c5dc391" PartId="b173b08626ac47af9ef59564d83e1477"/>
    <Part Type="punktas" Nr="1" Abbr="1 p." DocPartId="882d2ea45db04f5e94e70fafd203c997" PartId="13b1383a3f10401d95b3cff93c2b53ea">
      <Part Type="citata" DocPartId="3be39795442147158004f91d7c5237db" PartId="4d83cb7e109943cea05ceb214cf28e36">
        <Part Type="punktas" Nr="1" Abbr="1 p." DocPartId="a052acbe937d469785081cda882b26d9" PartId="217ccba5c6c64e349c4e07d290a6c967"/>
        <Part Type="punktas" Nr="2" Abbr="2 p." DocPartId="928918a006a545b390e39bfb29657f36" PartId="92372af2c97d4154b0336c00287fb295"/>
        <Part Type="punktas" Nr="5" Abbr="5 p." Title="" Notes="" DocPartId="9cb68a43d97b4f6986e9f769e1ea084b" PartId="ad4ae91cbcfc43f49b2bff187e6c42ee"/>
        <Part Type="punktas" Nr="25" Abbr="25 p." Title="" Notes="" DocPartId="1e84f7f0d3644cd19e71b70f44bbad88" PartId="7bcb4d795ff740ab992ba54cd69ace9a"/>
        <Part Type="punktas" Nr="26" Abbr="26 p." DocPartId="1443a6ae430a4cbdbe5c134973dc584a" PartId="5c082bf7a28a4c6b9c3e98fe52e54533"/>
      </Part>
    </Part>
    <Part Type="punktas" Nr="2" Abbr="2 p." Title="" Notes="" DocPartId="15f3dce319404e20ade73ab3ef4df3be" PartId="89807b85e831409eb53c67f89cc56f7d"/>
    <Part Type="punktas" Nr="3" Abbr="3 p." DocPartId="cf632be633d74a3383e2cb76de6952b7" PartId="57d155b10c614392b3fe4230eb49ef58"/>
    <Part Type="pastraipa" Nr="" Abbr="" Title="" Notes="" DocPartId="fffc4f8b4c414914985be26c315780b8" PartId="dc83f14bb9f54fc18b75f289169509ba"/>
    <Part Type="signatura" DocPartId="8e77403118b34796aab66ff7b236cafc" PartId="026cede7cc4545bda3964cb29c49335f"/>
  </Part>
</Parts>
</file>

<file path=customXml/itemProps1.xml><?xml version="1.0" encoding="utf-8"?>
<ds:datastoreItem xmlns:ds="http://schemas.openxmlformats.org/officeDocument/2006/customXml" ds:itemID="{3FB74FE4-669A-4647-948D-F348C2C43E9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3477</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4004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SKAPAITĖ Dalia</cp:lastModifiedBy>
  <cp:revision>3</cp:revision>
  <cp:lastPrinted>2016-05-02T07:30:00Z</cp:lastPrinted>
  <dcterms:created xsi:type="dcterms:W3CDTF">2016-05-03T05:57:00Z</dcterms:created>
  <dcterms:modified xsi:type="dcterms:W3CDTF">2016-05-03T15:51:00Z</dcterms:modified>
</cp:coreProperties>
</file>