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F" w:rsidRPr="00107659" w:rsidRDefault="00D16ECF" w:rsidP="00D16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7659">
        <w:rPr>
          <w:rFonts w:ascii="Times New Roman" w:hAnsi="Times New Roman" w:cs="Times New Roman"/>
          <w:b/>
          <w:sz w:val="32"/>
          <w:szCs w:val="32"/>
        </w:rPr>
        <w:t>4</w:t>
      </w:r>
      <w:r w:rsidRPr="005267FC">
        <w:rPr>
          <w:rFonts w:ascii="Times New Roman" w:hAnsi="Times New Roman" w:cs="Times New Roman"/>
          <w:b/>
          <w:sz w:val="24"/>
          <w:szCs w:val="24"/>
        </w:rPr>
        <w:t xml:space="preserve"> VEIKSMAI </w:t>
      </w:r>
      <w:r w:rsidR="00986495">
        <w:rPr>
          <w:rFonts w:ascii="Times New Roman" w:hAnsi="Times New Roman" w:cs="Times New Roman"/>
          <w:b/>
          <w:sz w:val="24"/>
          <w:szCs w:val="24"/>
        </w:rPr>
        <w:t>NORINT IŠVENGTI</w:t>
      </w:r>
      <w:r w:rsidRPr="005267FC">
        <w:rPr>
          <w:rFonts w:ascii="Times New Roman" w:hAnsi="Times New Roman" w:cs="Times New Roman"/>
          <w:b/>
          <w:sz w:val="24"/>
          <w:szCs w:val="24"/>
        </w:rPr>
        <w:t xml:space="preserve"> MIRTIES NUO ŠIRDIES LIGŲ IR INSULTO!</w:t>
      </w:r>
    </w:p>
    <w:bookmarkEnd w:id="0"/>
    <w:p w:rsidR="00582C63" w:rsidRPr="00D16ECF" w:rsidRDefault="00D16ECF" w:rsidP="00D16E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Daugelį metų Lietuvoje pagrindinė </w:t>
      </w:r>
      <w:r w:rsidR="00986495">
        <w:rPr>
          <w:rFonts w:ascii="Times New Roman" w:hAnsi="Times New Roman"/>
          <w:sz w:val="24"/>
          <w:szCs w:val="24"/>
        </w:rPr>
        <w:t xml:space="preserve">gyventojų </w:t>
      </w:r>
      <w:r>
        <w:rPr>
          <w:rFonts w:ascii="Times New Roman" w:hAnsi="Times New Roman"/>
          <w:sz w:val="24"/>
          <w:szCs w:val="24"/>
        </w:rPr>
        <w:t xml:space="preserve">mirties priežastis išlieka ta pati – širdies ir kraujagyslių ligos. </w:t>
      </w:r>
      <w:r w:rsidR="00582C63" w:rsidRPr="00D16ECF">
        <w:rPr>
          <w:rFonts w:ascii="Times New Roman" w:hAnsi="Times New Roman" w:cs="Times New Roman"/>
          <w:sz w:val="24"/>
          <w:szCs w:val="24"/>
        </w:rPr>
        <w:t>Nuo širdies ir kraujagyslių ligų:</w:t>
      </w:r>
    </w:p>
    <w:p w:rsidR="00582C63" w:rsidRPr="00D16ECF" w:rsidRDefault="00582C63" w:rsidP="00D16EC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ECF">
        <w:rPr>
          <w:rFonts w:ascii="Times New Roman" w:hAnsi="Times New Roman" w:cs="Times New Roman"/>
          <w:sz w:val="24"/>
          <w:szCs w:val="24"/>
        </w:rPr>
        <w:t>PASAULYJE kasmet miršta 17 mln. žmonių.</w:t>
      </w:r>
    </w:p>
    <w:p w:rsidR="00582C63" w:rsidRPr="00D16ECF" w:rsidRDefault="00582C63" w:rsidP="00D16EC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ECF">
        <w:rPr>
          <w:rFonts w:ascii="Times New Roman" w:hAnsi="Times New Roman" w:cs="Times New Roman"/>
          <w:sz w:val="24"/>
          <w:szCs w:val="24"/>
        </w:rPr>
        <w:t>EUROPOJE kasmet miršta daugiau kaip 4 mln. žmonių.</w:t>
      </w:r>
    </w:p>
    <w:p w:rsidR="00582C63" w:rsidRPr="00D16ECF" w:rsidRDefault="00582C63" w:rsidP="00D16EC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ECF">
        <w:rPr>
          <w:rFonts w:ascii="Times New Roman" w:hAnsi="Times New Roman" w:cs="Times New Roman"/>
          <w:sz w:val="24"/>
          <w:szCs w:val="24"/>
        </w:rPr>
        <w:t>LIETUVOJE kasmet miršta apie 23 tūkst. žmonių.</w:t>
      </w:r>
    </w:p>
    <w:p w:rsidR="00582C63" w:rsidRPr="00D16ECF" w:rsidRDefault="00582C63" w:rsidP="00D16EC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16ECF">
        <w:rPr>
          <w:rFonts w:ascii="Times New Roman" w:hAnsi="Times New Roman" w:cs="Times New Roman"/>
          <w:sz w:val="24"/>
          <w:szCs w:val="24"/>
        </w:rPr>
        <w:t>RIETAVO SAVIVALDYBĖJE kasmet miršta apie 7</w:t>
      </w:r>
      <w:r w:rsidR="00986495">
        <w:rPr>
          <w:rFonts w:ascii="Times New Roman" w:hAnsi="Times New Roman" w:cs="Times New Roman"/>
          <w:sz w:val="24"/>
          <w:szCs w:val="24"/>
        </w:rPr>
        <w:t>0 žmonių</w:t>
      </w:r>
      <w:r w:rsidRPr="00D16ECF">
        <w:rPr>
          <w:rFonts w:ascii="Times New Roman" w:hAnsi="Times New Roman" w:cs="Times New Roman"/>
          <w:sz w:val="24"/>
          <w:szCs w:val="24"/>
        </w:rPr>
        <w:t>.</w:t>
      </w:r>
    </w:p>
    <w:p w:rsidR="00D16ECF" w:rsidRDefault="00D16ECF" w:rsidP="00D16ECF">
      <w:pPr>
        <w:pStyle w:val="Sraopastraipa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A1189" w:rsidRDefault="00D16ECF" w:rsidP="00D16ECF">
      <w:pPr>
        <w:pStyle w:val="Sraopastraipa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Pagrindiniai širdies ir kraujagyslių ligų rizikos veiksniai yra rūkymas, padidėjęs arterinis kraujo spaudimas, padidėjusi cholesterolio koncentracija kr</w:t>
      </w:r>
      <w:r w:rsidR="00986495">
        <w:rPr>
          <w:rFonts w:ascii="Times New Roman" w:hAnsi="Times New Roman"/>
          <w:sz w:val="24"/>
          <w:szCs w:val="24"/>
        </w:rPr>
        <w:t>aujyje, netaisyklinga mityba ir</w:t>
      </w:r>
      <w:r>
        <w:rPr>
          <w:rFonts w:ascii="Times New Roman" w:hAnsi="Times New Roman"/>
          <w:sz w:val="24"/>
          <w:szCs w:val="24"/>
        </w:rPr>
        <w:t xml:space="preserve"> mažas fizinis aktyvumas. Kiti rizikos veiksniai, turintys įtakos, širdies ir kraujagyslių ligoms vystytis</w:t>
      </w:r>
      <w:r w:rsidR="009864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yra antsvoris, nutukimas, cukrinis diabetas</w:t>
      </w:r>
      <w:r w:rsidR="00986495">
        <w:rPr>
          <w:rFonts w:ascii="Times New Roman" w:hAnsi="Times New Roman"/>
          <w:sz w:val="24"/>
          <w:szCs w:val="24"/>
        </w:rPr>
        <w:t>, piktnaudžiavimas alkoholiu, psichinis ir</w:t>
      </w:r>
      <w:r>
        <w:rPr>
          <w:rFonts w:ascii="Times New Roman" w:hAnsi="Times New Roman"/>
          <w:sz w:val="24"/>
          <w:szCs w:val="24"/>
        </w:rPr>
        <w:t xml:space="preserve"> socialinis stresas.  Taip pat didesnę riziką susirgti šiomis ligomis turi žmonės, kurių šeimoje, giminėje buvo sergančių šiomis ligomis.  Amžius, lytis ir paveldimumas – tai sveikatos rizikos veiksniai, kurių žmogus negali pakeisti ar kontroliuoti.  Tačiau visų prieš tai paminėtų rizikos veiksnių galima išvengti. Siekiant išsaugoti sveikatą ir norint išvengti širdies ir kraujagyslių ligų</w:t>
      </w:r>
      <w:r w:rsidR="009864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reikia sumažinti arba visai vengti rizikos veiksnių, kurie didina susirgimų tikimybę.  </w:t>
      </w:r>
    </w:p>
    <w:p w:rsidR="00D16ECF" w:rsidRPr="00EA1189" w:rsidRDefault="00D16ECF" w:rsidP="00D16ECF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Ind w:w="-601" w:type="dxa"/>
        <w:tblLook w:val="04A0"/>
      </w:tblPr>
      <w:tblGrid>
        <w:gridCol w:w="6238"/>
        <w:gridCol w:w="3827"/>
      </w:tblGrid>
      <w:tr w:rsidR="002479CC" w:rsidRPr="00143C63" w:rsidTr="00EA1189">
        <w:trPr>
          <w:trHeight w:val="473"/>
        </w:trPr>
        <w:tc>
          <w:tcPr>
            <w:tcW w:w="10065" w:type="dxa"/>
            <w:gridSpan w:val="2"/>
            <w:vAlign w:val="center"/>
          </w:tcPr>
          <w:p w:rsidR="002479CC" w:rsidRPr="00107659" w:rsidRDefault="002479CC" w:rsidP="00EA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52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VEIKSMAI </w:t>
            </w:r>
            <w:r w:rsidR="0098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NORINT </w:t>
            </w:r>
            <w:r w:rsidRPr="005267FC">
              <w:rPr>
                <w:rFonts w:ascii="Times New Roman" w:hAnsi="Times New Roman" w:cs="Times New Roman"/>
                <w:b/>
                <w:sz w:val="24"/>
                <w:szCs w:val="24"/>
              </w:rPr>
              <w:t>IŠVENGT</w:t>
            </w:r>
            <w:r w:rsidR="0098649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2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MIRTIES NUO ŠIRDIES LIGŲ IR INSULTO!</w:t>
            </w:r>
          </w:p>
          <w:p w:rsidR="002479CC" w:rsidRPr="00143C63" w:rsidRDefault="002479CC" w:rsidP="00EA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CC" w:rsidRPr="00107659" w:rsidTr="00582C63">
        <w:trPr>
          <w:trHeight w:val="1144"/>
        </w:trPr>
        <w:tc>
          <w:tcPr>
            <w:tcW w:w="6238" w:type="dxa"/>
          </w:tcPr>
          <w:p w:rsidR="002479CC" w:rsidRPr="00143C63" w:rsidRDefault="002479CC" w:rsidP="000607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267FC">
              <w:rPr>
                <w:rFonts w:ascii="Comic Sans MS" w:hAnsi="Comic Sans MS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40005</wp:posOffset>
                  </wp:positionV>
                  <wp:extent cx="600075" cy="605790"/>
                  <wp:effectExtent l="0" t="0" r="9525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79CC" w:rsidRPr="00107659" w:rsidRDefault="002479CC" w:rsidP="0006078C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107659">
              <w:rPr>
                <w:rFonts w:ascii="Comic Sans MS" w:hAnsi="Comic Sans MS" w:cs="Times New Roman"/>
                <w:b/>
                <w:sz w:val="24"/>
                <w:szCs w:val="24"/>
              </w:rPr>
              <w:t>Būk aktyvus!</w:t>
            </w:r>
          </w:p>
          <w:p w:rsidR="002479CC" w:rsidRPr="00107659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Bent 3</w:t>
            </w:r>
            <w:r w:rsidR="00986495">
              <w:rPr>
                <w:rFonts w:ascii="Times New Roman" w:hAnsi="Times New Roman" w:cs="Times New Roman"/>
                <w:sz w:val="24"/>
                <w:szCs w:val="24"/>
              </w:rPr>
              <w:t>0 min fizinės veiklos kas dieną</w:t>
            </w:r>
          </w:p>
          <w:p w:rsidR="002479CC" w:rsidRPr="00107659" w:rsidRDefault="002479CC" w:rsidP="0006078C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479CC" w:rsidRDefault="002479CC" w:rsidP="0006078C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2479CC" w:rsidRPr="00582C63" w:rsidRDefault="002479CC" w:rsidP="000607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2C63">
              <w:rPr>
                <w:rFonts w:ascii="Times New Roman" w:hAnsi="Times New Roman" w:cs="Times New Roman"/>
                <w:sz w:val="28"/>
                <w:szCs w:val="24"/>
              </w:rPr>
              <w:t>Mirtys nuo širdies ir kraujagyslių ligų sudaro 50 proc. visų mirčių ir pirmauja visame pasaulyje.  Tačiau tai labiausia</w:t>
            </w:r>
            <w:r w:rsidR="00986495">
              <w:rPr>
                <w:rFonts w:ascii="Times New Roman" w:hAnsi="Times New Roman" w:cs="Times New Roman"/>
                <w:sz w:val="28"/>
                <w:szCs w:val="24"/>
              </w:rPr>
              <w:t>i</w:t>
            </w:r>
            <w:r w:rsidRPr="00582C63">
              <w:rPr>
                <w:rFonts w:ascii="Times New Roman" w:hAnsi="Times New Roman" w:cs="Times New Roman"/>
                <w:sz w:val="28"/>
                <w:szCs w:val="24"/>
              </w:rPr>
              <w:t xml:space="preserve"> išvengiamos mirtys koreguojant gyvenseną!</w:t>
            </w:r>
          </w:p>
          <w:p w:rsidR="002479CC" w:rsidRPr="00582C63" w:rsidRDefault="002479CC" w:rsidP="0006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CC" w:rsidRPr="00582C63" w:rsidRDefault="002479CC" w:rsidP="000607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582C63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Vienas gyvenimas.</w:t>
            </w:r>
          </w:p>
          <w:p w:rsidR="002479CC" w:rsidRPr="00582C63" w:rsidRDefault="002479CC" w:rsidP="000607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582C63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Viena širdis.</w:t>
            </w:r>
          </w:p>
          <w:p w:rsidR="002479CC" w:rsidRPr="00107659" w:rsidRDefault="002479CC" w:rsidP="0006078C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82C63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Rūpinkis ja!</w:t>
            </w:r>
          </w:p>
        </w:tc>
      </w:tr>
      <w:tr w:rsidR="002479CC" w:rsidRPr="00107659" w:rsidTr="00582C63">
        <w:trPr>
          <w:trHeight w:val="1118"/>
        </w:trPr>
        <w:tc>
          <w:tcPr>
            <w:tcW w:w="6238" w:type="dxa"/>
          </w:tcPr>
          <w:p w:rsidR="002479CC" w:rsidRPr="00143C63" w:rsidRDefault="002479CC" w:rsidP="000607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267FC">
              <w:rPr>
                <w:rFonts w:ascii="Comic Sans MS" w:hAnsi="Comic Sans MS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73025</wp:posOffset>
                  </wp:positionV>
                  <wp:extent cx="600075" cy="6000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79CC" w:rsidRPr="00107659" w:rsidRDefault="002479CC" w:rsidP="0006078C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107659">
              <w:rPr>
                <w:rFonts w:ascii="Comic Sans MS" w:hAnsi="Comic Sans MS" w:cs="Times New Roman"/>
                <w:b/>
                <w:sz w:val="24"/>
                <w:szCs w:val="24"/>
              </w:rPr>
              <w:t>Pasakyk NE tabakui!</w:t>
            </w:r>
          </w:p>
          <w:p w:rsidR="002479CC" w:rsidRPr="00107659" w:rsidRDefault="002479CC" w:rsidP="0006078C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479CC" w:rsidRPr="00107659" w:rsidRDefault="002479CC" w:rsidP="0006078C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2479CC" w:rsidRPr="00A86164" w:rsidTr="00582C63">
        <w:trPr>
          <w:trHeight w:val="1278"/>
        </w:trPr>
        <w:tc>
          <w:tcPr>
            <w:tcW w:w="6238" w:type="dxa"/>
          </w:tcPr>
          <w:p w:rsidR="002479CC" w:rsidRPr="00143C63" w:rsidRDefault="002479CC" w:rsidP="000607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267FC">
              <w:rPr>
                <w:rFonts w:ascii="Comic Sans MS" w:hAnsi="Comic Sans MS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106045</wp:posOffset>
                  </wp:positionV>
                  <wp:extent cx="585470" cy="609600"/>
                  <wp:effectExtent l="0" t="0" r="508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79CC" w:rsidRPr="00107659" w:rsidRDefault="002479CC" w:rsidP="0006078C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107659">
              <w:rPr>
                <w:rFonts w:ascii="Comic Sans MS" w:hAnsi="Comic Sans MS" w:cs="Times New Roman"/>
                <w:b/>
                <w:sz w:val="24"/>
                <w:szCs w:val="24"/>
              </w:rPr>
              <w:t>Sveikai maitinkis!</w:t>
            </w:r>
          </w:p>
          <w:p w:rsidR="002479CC" w:rsidRPr="00A86164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Valgyk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 daugiau daržovių, vaisių.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Venk greitai paruošiamo, riebaus maisto</w:t>
            </w:r>
          </w:p>
        </w:tc>
        <w:tc>
          <w:tcPr>
            <w:tcW w:w="3827" w:type="dxa"/>
            <w:vMerge/>
          </w:tcPr>
          <w:p w:rsidR="002479CC" w:rsidRPr="00A86164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CC" w:rsidRPr="00A86164" w:rsidTr="00582C63">
        <w:trPr>
          <w:trHeight w:val="741"/>
        </w:trPr>
        <w:tc>
          <w:tcPr>
            <w:tcW w:w="6238" w:type="dxa"/>
            <w:vMerge w:val="restart"/>
          </w:tcPr>
          <w:p w:rsidR="002479CC" w:rsidRPr="00143C63" w:rsidRDefault="00EA1189" w:rsidP="000607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267F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646430" cy="646430"/>
                  <wp:effectExtent l="0" t="0" r="1270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79CC" w:rsidRPr="00107659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Comic Sans MS" w:hAnsi="Comic Sans MS" w:cs="Times New Roman"/>
                <w:b/>
                <w:sz w:val="24"/>
                <w:szCs w:val="24"/>
              </w:rPr>
              <w:t>Žinok ir kontroliuok savo skaičius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479CC" w:rsidRPr="00107659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Krauj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spaudimas – ne daugiau 140/90 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mm/</w:t>
            </w:r>
            <w:proofErr w:type="spellStart"/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proofErr w:type="spellEnd"/>
          </w:p>
          <w:p w:rsidR="002479CC" w:rsidRPr="00107659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Kūno masės indeksas – norma 18,5-24,9</w:t>
            </w:r>
          </w:p>
          <w:p w:rsidR="002479CC" w:rsidRPr="00107659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Gliukozė – ne daugiau 5,6 </w:t>
            </w:r>
            <w:proofErr w:type="spellStart"/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  <w:p w:rsidR="002479CC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Cholesterolis – ne daugiau 5,2 </w:t>
            </w:r>
            <w:proofErr w:type="spellStart"/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  <w:p w:rsidR="00582C63" w:rsidRPr="00A86164" w:rsidRDefault="00582C63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479CC" w:rsidRPr="00A86164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CC" w:rsidRPr="00A86164" w:rsidTr="00582C63">
        <w:trPr>
          <w:trHeight w:val="979"/>
        </w:trPr>
        <w:tc>
          <w:tcPr>
            <w:tcW w:w="6238" w:type="dxa"/>
            <w:vMerge/>
          </w:tcPr>
          <w:p w:rsidR="002479CC" w:rsidRPr="005267FC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479CC" w:rsidRPr="00A86164" w:rsidRDefault="002479CC" w:rsidP="000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190500</wp:posOffset>
                  </wp:positionV>
                  <wp:extent cx="1676400" cy="357505"/>
                  <wp:effectExtent l="0" t="0" r="0" b="444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5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3432C">
              <w:rPr>
                <w:rFonts w:ascii="Times New Roman" w:hAnsi="Times New Roman" w:cs="Times New Roman"/>
                <w:sz w:val="24"/>
                <w:szCs w:val="24"/>
              </w:rPr>
              <w:t>Informaciją parengė</w:t>
            </w:r>
          </w:p>
        </w:tc>
      </w:tr>
    </w:tbl>
    <w:p w:rsidR="00582C63" w:rsidRDefault="00582C63" w:rsidP="00EA1189"/>
    <w:sectPr w:rsidR="00582C63" w:rsidSect="007F5B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60F"/>
    <w:multiLevelType w:val="hybridMultilevel"/>
    <w:tmpl w:val="185A9D3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479CC"/>
    <w:rsid w:val="0000398B"/>
    <w:rsid w:val="00013088"/>
    <w:rsid w:val="00024FEE"/>
    <w:rsid w:val="00030C0F"/>
    <w:rsid w:val="0003524C"/>
    <w:rsid w:val="0003631D"/>
    <w:rsid w:val="000426FC"/>
    <w:rsid w:val="0006449A"/>
    <w:rsid w:val="00066466"/>
    <w:rsid w:val="000812A4"/>
    <w:rsid w:val="00092941"/>
    <w:rsid w:val="00093DB3"/>
    <w:rsid w:val="000B5A38"/>
    <w:rsid w:val="000C225A"/>
    <w:rsid w:val="000E48D0"/>
    <w:rsid w:val="000F540B"/>
    <w:rsid w:val="00105FAC"/>
    <w:rsid w:val="0010657D"/>
    <w:rsid w:val="00117B32"/>
    <w:rsid w:val="00141520"/>
    <w:rsid w:val="001474EA"/>
    <w:rsid w:val="00151349"/>
    <w:rsid w:val="00165BC3"/>
    <w:rsid w:val="00167C1C"/>
    <w:rsid w:val="0019622B"/>
    <w:rsid w:val="001C1E53"/>
    <w:rsid w:val="001C36FD"/>
    <w:rsid w:val="001C3F8B"/>
    <w:rsid w:val="001D03AD"/>
    <w:rsid w:val="001D09CB"/>
    <w:rsid w:val="001D3241"/>
    <w:rsid w:val="001D71AD"/>
    <w:rsid w:val="001E0C51"/>
    <w:rsid w:val="001F3210"/>
    <w:rsid w:val="00204243"/>
    <w:rsid w:val="002047AC"/>
    <w:rsid w:val="002111FE"/>
    <w:rsid w:val="002120B9"/>
    <w:rsid w:val="0021451A"/>
    <w:rsid w:val="00215D26"/>
    <w:rsid w:val="00222EE9"/>
    <w:rsid w:val="002353BD"/>
    <w:rsid w:val="00240891"/>
    <w:rsid w:val="0024211E"/>
    <w:rsid w:val="00245E45"/>
    <w:rsid w:val="002479CC"/>
    <w:rsid w:val="00256342"/>
    <w:rsid w:val="00263587"/>
    <w:rsid w:val="002640F1"/>
    <w:rsid w:val="00264CA2"/>
    <w:rsid w:val="002717CB"/>
    <w:rsid w:val="00273298"/>
    <w:rsid w:val="00285B01"/>
    <w:rsid w:val="002A2F4C"/>
    <w:rsid w:val="002A6AF7"/>
    <w:rsid w:val="002A7690"/>
    <w:rsid w:val="002C7A38"/>
    <w:rsid w:val="002D3B90"/>
    <w:rsid w:val="002D6F7E"/>
    <w:rsid w:val="00326197"/>
    <w:rsid w:val="00361EF6"/>
    <w:rsid w:val="00365A6D"/>
    <w:rsid w:val="00375014"/>
    <w:rsid w:val="00383D0A"/>
    <w:rsid w:val="003A18EA"/>
    <w:rsid w:val="003A255E"/>
    <w:rsid w:val="003B0863"/>
    <w:rsid w:val="003C42C0"/>
    <w:rsid w:val="003C55C7"/>
    <w:rsid w:val="003C75B3"/>
    <w:rsid w:val="003C7E1A"/>
    <w:rsid w:val="003D2058"/>
    <w:rsid w:val="003E339A"/>
    <w:rsid w:val="003E742E"/>
    <w:rsid w:val="003F4B19"/>
    <w:rsid w:val="003F4C15"/>
    <w:rsid w:val="003F6108"/>
    <w:rsid w:val="003F73D6"/>
    <w:rsid w:val="0040057B"/>
    <w:rsid w:val="00420624"/>
    <w:rsid w:val="0042696B"/>
    <w:rsid w:val="00445A9D"/>
    <w:rsid w:val="004619FB"/>
    <w:rsid w:val="00472BF9"/>
    <w:rsid w:val="00473B65"/>
    <w:rsid w:val="004A5254"/>
    <w:rsid w:val="004A7632"/>
    <w:rsid w:val="004B0C7C"/>
    <w:rsid w:val="004B7FBD"/>
    <w:rsid w:val="004C24D1"/>
    <w:rsid w:val="004C3845"/>
    <w:rsid w:val="004C7706"/>
    <w:rsid w:val="004E2C45"/>
    <w:rsid w:val="004F098C"/>
    <w:rsid w:val="004F1E85"/>
    <w:rsid w:val="005006B9"/>
    <w:rsid w:val="00502B34"/>
    <w:rsid w:val="00512740"/>
    <w:rsid w:val="005136CA"/>
    <w:rsid w:val="00522375"/>
    <w:rsid w:val="00522E30"/>
    <w:rsid w:val="005269ED"/>
    <w:rsid w:val="00552AAC"/>
    <w:rsid w:val="00562A85"/>
    <w:rsid w:val="00562DA0"/>
    <w:rsid w:val="00564F1B"/>
    <w:rsid w:val="00582C63"/>
    <w:rsid w:val="00584640"/>
    <w:rsid w:val="005868AE"/>
    <w:rsid w:val="00593752"/>
    <w:rsid w:val="00594CE8"/>
    <w:rsid w:val="005A3A06"/>
    <w:rsid w:val="005A41FE"/>
    <w:rsid w:val="005B0EAD"/>
    <w:rsid w:val="005D02CE"/>
    <w:rsid w:val="005E4D90"/>
    <w:rsid w:val="005E7D2C"/>
    <w:rsid w:val="005F19FF"/>
    <w:rsid w:val="005F4EDF"/>
    <w:rsid w:val="00606792"/>
    <w:rsid w:val="00614C27"/>
    <w:rsid w:val="00634BFE"/>
    <w:rsid w:val="0064239B"/>
    <w:rsid w:val="00643735"/>
    <w:rsid w:val="006437EB"/>
    <w:rsid w:val="00644A89"/>
    <w:rsid w:val="00651F1C"/>
    <w:rsid w:val="00654C9E"/>
    <w:rsid w:val="006558C9"/>
    <w:rsid w:val="00657CBF"/>
    <w:rsid w:val="00665ED9"/>
    <w:rsid w:val="00681D83"/>
    <w:rsid w:val="006A1CDB"/>
    <w:rsid w:val="006A52CF"/>
    <w:rsid w:val="006A63DD"/>
    <w:rsid w:val="006B3CA6"/>
    <w:rsid w:val="006B4684"/>
    <w:rsid w:val="006B4A5E"/>
    <w:rsid w:val="006C16E8"/>
    <w:rsid w:val="006D44B8"/>
    <w:rsid w:val="006F7EE3"/>
    <w:rsid w:val="00701EF1"/>
    <w:rsid w:val="00702EBC"/>
    <w:rsid w:val="00704269"/>
    <w:rsid w:val="0070582A"/>
    <w:rsid w:val="00714320"/>
    <w:rsid w:val="00727D53"/>
    <w:rsid w:val="00760282"/>
    <w:rsid w:val="007656DF"/>
    <w:rsid w:val="0077176A"/>
    <w:rsid w:val="007729F5"/>
    <w:rsid w:val="00775201"/>
    <w:rsid w:val="007753F9"/>
    <w:rsid w:val="007A152F"/>
    <w:rsid w:val="007C73FE"/>
    <w:rsid w:val="007D4572"/>
    <w:rsid w:val="007D72CF"/>
    <w:rsid w:val="007E1FEB"/>
    <w:rsid w:val="007F5BDB"/>
    <w:rsid w:val="0081671A"/>
    <w:rsid w:val="00820E31"/>
    <w:rsid w:val="00854496"/>
    <w:rsid w:val="00873A95"/>
    <w:rsid w:val="00882F8F"/>
    <w:rsid w:val="008A1D35"/>
    <w:rsid w:val="008A54F1"/>
    <w:rsid w:val="008B594F"/>
    <w:rsid w:val="008C72F6"/>
    <w:rsid w:val="008E1125"/>
    <w:rsid w:val="008E69E5"/>
    <w:rsid w:val="008E75EF"/>
    <w:rsid w:val="00927DF7"/>
    <w:rsid w:val="00933577"/>
    <w:rsid w:val="0093416E"/>
    <w:rsid w:val="009514F6"/>
    <w:rsid w:val="00956F5A"/>
    <w:rsid w:val="00971BBD"/>
    <w:rsid w:val="00973012"/>
    <w:rsid w:val="00974B57"/>
    <w:rsid w:val="00984EF8"/>
    <w:rsid w:val="00986347"/>
    <w:rsid w:val="00986495"/>
    <w:rsid w:val="009B1FE2"/>
    <w:rsid w:val="009B52F0"/>
    <w:rsid w:val="009C7898"/>
    <w:rsid w:val="009C7B2E"/>
    <w:rsid w:val="009E24CB"/>
    <w:rsid w:val="009E58BB"/>
    <w:rsid w:val="009F661E"/>
    <w:rsid w:val="00A011FE"/>
    <w:rsid w:val="00A0769C"/>
    <w:rsid w:val="00A14FBF"/>
    <w:rsid w:val="00A2396C"/>
    <w:rsid w:val="00A3055B"/>
    <w:rsid w:val="00A44E0B"/>
    <w:rsid w:val="00A53C64"/>
    <w:rsid w:val="00A54456"/>
    <w:rsid w:val="00A6426B"/>
    <w:rsid w:val="00AA37C7"/>
    <w:rsid w:val="00AB044A"/>
    <w:rsid w:val="00AB313B"/>
    <w:rsid w:val="00AB328E"/>
    <w:rsid w:val="00AB7CDE"/>
    <w:rsid w:val="00AD5BC9"/>
    <w:rsid w:val="00AE1D28"/>
    <w:rsid w:val="00AE41AA"/>
    <w:rsid w:val="00AE5040"/>
    <w:rsid w:val="00AF5ECF"/>
    <w:rsid w:val="00AF6E92"/>
    <w:rsid w:val="00B01ABB"/>
    <w:rsid w:val="00B061AB"/>
    <w:rsid w:val="00B14235"/>
    <w:rsid w:val="00B205F0"/>
    <w:rsid w:val="00B2235A"/>
    <w:rsid w:val="00B2429A"/>
    <w:rsid w:val="00B31CCE"/>
    <w:rsid w:val="00B37782"/>
    <w:rsid w:val="00B40FD3"/>
    <w:rsid w:val="00B70B88"/>
    <w:rsid w:val="00B7466C"/>
    <w:rsid w:val="00B757E5"/>
    <w:rsid w:val="00B7679F"/>
    <w:rsid w:val="00B83DFD"/>
    <w:rsid w:val="00B9144E"/>
    <w:rsid w:val="00BB4EBD"/>
    <w:rsid w:val="00BB76D4"/>
    <w:rsid w:val="00BB77C6"/>
    <w:rsid w:val="00BC2C7A"/>
    <w:rsid w:val="00BD766C"/>
    <w:rsid w:val="00BE44F1"/>
    <w:rsid w:val="00BF0B24"/>
    <w:rsid w:val="00C04053"/>
    <w:rsid w:val="00C04B83"/>
    <w:rsid w:val="00C205B6"/>
    <w:rsid w:val="00C2158A"/>
    <w:rsid w:val="00C2474B"/>
    <w:rsid w:val="00C46A84"/>
    <w:rsid w:val="00C477C0"/>
    <w:rsid w:val="00C53774"/>
    <w:rsid w:val="00C61C6C"/>
    <w:rsid w:val="00C944F4"/>
    <w:rsid w:val="00C94533"/>
    <w:rsid w:val="00C94CF6"/>
    <w:rsid w:val="00CA06A8"/>
    <w:rsid w:val="00CA3F7C"/>
    <w:rsid w:val="00CA6930"/>
    <w:rsid w:val="00CB1793"/>
    <w:rsid w:val="00CB693B"/>
    <w:rsid w:val="00CC284E"/>
    <w:rsid w:val="00CC5798"/>
    <w:rsid w:val="00CC583D"/>
    <w:rsid w:val="00CD41BE"/>
    <w:rsid w:val="00CD4B24"/>
    <w:rsid w:val="00CD7A5E"/>
    <w:rsid w:val="00CE1F39"/>
    <w:rsid w:val="00CF02EA"/>
    <w:rsid w:val="00CF65B0"/>
    <w:rsid w:val="00D10C9E"/>
    <w:rsid w:val="00D14A88"/>
    <w:rsid w:val="00D16ECF"/>
    <w:rsid w:val="00D20FC8"/>
    <w:rsid w:val="00D43117"/>
    <w:rsid w:val="00D43EC1"/>
    <w:rsid w:val="00D50822"/>
    <w:rsid w:val="00D562AC"/>
    <w:rsid w:val="00D6335F"/>
    <w:rsid w:val="00D66BF0"/>
    <w:rsid w:val="00D71A36"/>
    <w:rsid w:val="00D7243F"/>
    <w:rsid w:val="00D738CF"/>
    <w:rsid w:val="00D86F67"/>
    <w:rsid w:val="00D87455"/>
    <w:rsid w:val="00DA1BA7"/>
    <w:rsid w:val="00DA7907"/>
    <w:rsid w:val="00DB0B90"/>
    <w:rsid w:val="00DB1B19"/>
    <w:rsid w:val="00DC2CA3"/>
    <w:rsid w:val="00DD0087"/>
    <w:rsid w:val="00DD395E"/>
    <w:rsid w:val="00DE1CC3"/>
    <w:rsid w:val="00DE3702"/>
    <w:rsid w:val="00DE45C3"/>
    <w:rsid w:val="00DF1BCF"/>
    <w:rsid w:val="00E0477C"/>
    <w:rsid w:val="00E1339D"/>
    <w:rsid w:val="00E168B9"/>
    <w:rsid w:val="00E17679"/>
    <w:rsid w:val="00E2725A"/>
    <w:rsid w:val="00E513BF"/>
    <w:rsid w:val="00E56DAE"/>
    <w:rsid w:val="00E62887"/>
    <w:rsid w:val="00E67A4A"/>
    <w:rsid w:val="00E801FD"/>
    <w:rsid w:val="00E8611E"/>
    <w:rsid w:val="00E9314B"/>
    <w:rsid w:val="00E95559"/>
    <w:rsid w:val="00EA1189"/>
    <w:rsid w:val="00EA7B55"/>
    <w:rsid w:val="00EB3EBD"/>
    <w:rsid w:val="00EB6A09"/>
    <w:rsid w:val="00ED06BC"/>
    <w:rsid w:val="00ED6358"/>
    <w:rsid w:val="00EE611B"/>
    <w:rsid w:val="00EE6D28"/>
    <w:rsid w:val="00F06FEA"/>
    <w:rsid w:val="00F11D4C"/>
    <w:rsid w:val="00F179B4"/>
    <w:rsid w:val="00F21735"/>
    <w:rsid w:val="00F22794"/>
    <w:rsid w:val="00F4541D"/>
    <w:rsid w:val="00F47DB3"/>
    <w:rsid w:val="00F50563"/>
    <w:rsid w:val="00F61B93"/>
    <w:rsid w:val="00F70AE5"/>
    <w:rsid w:val="00F777BE"/>
    <w:rsid w:val="00F8291D"/>
    <w:rsid w:val="00F90627"/>
    <w:rsid w:val="00F9666B"/>
    <w:rsid w:val="00FB5BBD"/>
    <w:rsid w:val="00FB64BF"/>
    <w:rsid w:val="00FC34D8"/>
    <w:rsid w:val="00FC70AB"/>
    <w:rsid w:val="00FD3BF1"/>
    <w:rsid w:val="00FE1370"/>
    <w:rsid w:val="00FE4891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79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79C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4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</dc:creator>
  <cp:lastModifiedBy>User</cp:lastModifiedBy>
  <cp:revision>5</cp:revision>
  <dcterms:created xsi:type="dcterms:W3CDTF">2012-08-23T06:48:00Z</dcterms:created>
  <dcterms:modified xsi:type="dcterms:W3CDTF">2018-12-06T13:47:00Z</dcterms:modified>
</cp:coreProperties>
</file>